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ind w:right="687"/>
        <w:rPr>
          <w:b/>
          <w:color w:val="00000A"/>
          <w:kern w:val="3"/>
          <w:lang w:eastAsia="zh-CN"/>
        </w:rPr>
      </w:pPr>
      <w:r>
        <w:rPr>
          <w:b/>
          <w:color w:val="00000A"/>
          <w:kern w:val="3"/>
          <w:lang w:eastAsia="zh-CN"/>
        </w:rPr>
        <w:t>Annexe 1</w:t>
      </w:r>
    </w:p>
    <w:p>
      <w:pPr>
        <w:widowControl/>
        <w:jc w:val="both"/>
        <w:rPr>
          <w:b/>
          <w:color w:val="00000A"/>
          <w:kern w:val="3"/>
          <w:lang w:eastAsia="zh-CN"/>
        </w:rPr>
      </w:pPr>
    </w:p>
    <w:p>
      <w:pPr>
        <w:widowControl/>
        <w:autoSpaceDE w:val="0"/>
        <w:jc w:val="both"/>
        <w:rPr>
          <w:b/>
          <w:sz w:val="22"/>
          <w:szCs w:val="22"/>
        </w:rPr>
      </w:pPr>
    </w:p>
    <w:p>
      <w:pPr>
        <w:widowControl/>
        <w:autoSpaceDE w:val="0"/>
        <w:jc w:val="both"/>
      </w:pPr>
      <w:r>
        <w:rPr>
          <w:b/>
          <w:sz w:val="22"/>
          <w:szCs w:val="22"/>
        </w:rPr>
        <w:t>1. Emplois de recrutement définitivement vacants à la date du 1</w:t>
      </w:r>
      <w:r>
        <w:rPr>
          <w:b/>
          <w:sz w:val="22"/>
          <w:szCs w:val="22"/>
          <w:vertAlign w:val="superscript"/>
        </w:rPr>
        <w:t>er</w:t>
      </w:r>
      <w:r>
        <w:rPr>
          <w:b/>
          <w:sz w:val="22"/>
          <w:szCs w:val="22"/>
        </w:rPr>
        <w:t xml:space="preserve"> septembre 2019</w:t>
      </w:r>
    </w:p>
    <w:p>
      <w:pPr>
        <w:widowControl/>
        <w:tabs>
          <w:tab w:val="left" w:pos="-142"/>
        </w:tabs>
        <w:autoSpaceDE w:val="0"/>
        <w:jc w:val="both"/>
        <w:rPr>
          <w:sz w:val="22"/>
          <w:szCs w:val="22"/>
        </w:rPr>
      </w:pPr>
    </w:p>
    <w:p>
      <w:pPr>
        <w:widowControl/>
        <w:tabs>
          <w:tab w:val="left" w:pos="-142"/>
        </w:tabs>
        <w:autoSpaceDE w:val="0"/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1.1. Emplois de conseillers psycho-pédagogiques : Aucun</w:t>
      </w:r>
    </w:p>
    <w:p>
      <w:pPr>
        <w:widowControl/>
        <w:tabs>
          <w:tab w:val="left" w:pos="-142"/>
        </w:tabs>
        <w:autoSpaceDE w:val="0"/>
        <w:ind w:left="360"/>
        <w:jc w:val="both"/>
        <w:rPr>
          <w:b/>
          <w:sz w:val="22"/>
          <w:szCs w:val="22"/>
        </w:rPr>
      </w:pPr>
    </w:p>
    <w:p>
      <w:pPr>
        <w:widowControl/>
        <w:tabs>
          <w:tab w:val="left" w:pos="-142"/>
        </w:tabs>
        <w:autoSpaceDE w:val="0"/>
        <w:ind w:left="360"/>
        <w:jc w:val="both"/>
      </w:pPr>
      <w:r>
        <w:rPr>
          <w:b/>
          <w:sz w:val="22"/>
          <w:szCs w:val="22"/>
        </w:rPr>
        <w:t>1.2. Emplois d’auxiliaires sociaux</w:t>
      </w:r>
    </w:p>
    <w:p>
      <w:pPr>
        <w:widowControl/>
        <w:autoSpaceDE w:val="0"/>
        <w:ind w:left="2268" w:right="283"/>
        <w:jc w:val="both"/>
        <w:rPr>
          <w:b/>
          <w:i/>
          <w:sz w:val="22"/>
          <w:szCs w:val="22"/>
          <w:u w:val="single"/>
        </w:rPr>
      </w:pPr>
    </w:p>
    <w:p>
      <w:pPr>
        <w:widowControl/>
        <w:autoSpaceDE w:val="0"/>
        <w:jc w:val="both"/>
        <w:rPr>
          <w:sz w:val="22"/>
          <w:szCs w:val="22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Bruxelles-Capitale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b/>
          <w:sz w:val="22"/>
          <w:szCs w:val="22"/>
        </w:rPr>
        <w:t>Ixelles : 1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Brabant Wallon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Huy – Waremme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5"/>
        </w:numPr>
        <w:autoSpaceDE w:val="0"/>
        <w:ind w:right="283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Liège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Verviers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b/>
          <w:sz w:val="22"/>
          <w:szCs w:val="22"/>
        </w:rPr>
        <w:t>Verviers : 1</w:t>
      </w:r>
    </w:p>
    <w:p>
      <w:pPr>
        <w:widowControl/>
        <w:autoSpaceDE w:val="0"/>
        <w:jc w:val="both"/>
        <w:rPr>
          <w:b/>
          <w:sz w:val="22"/>
          <w:szCs w:val="22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Namur</w:t>
      </w:r>
    </w:p>
    <w:p>
      <w:pPr>
        <w:widowControl/>
        <w:autoSpaceDE w:val="0"/>
        <w:ind w:left="360" w:right="283"/>
        <w:jc w:val="both"/>
        <w:rPr>
          <w:b/>
          <w:sz w:val="22"/>
          <w:szCs w:val="22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b/>
          <w:sz w:val="22"/>
          <w:szCs w:val="22"/>
        </w:rPr>
        <w:t>Namur : 1/2</w:t>
      </w:r>
      <w:r>
        <w:rPr>
          <w:b/>
          <w:i/>
          <w:sz w:val="22"/>
          <w:szCs w:val="22"/>
        </w:rPr>
        <w:t xml:space="preserve"> 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Luxembourg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6"/>
        </w:numPr>
        <w:autoSpaceDE w:val="0"/>
        <w:ind w:right="283"/>
        <w:jc w:val="both"/>
      </w:pPr>
      <w:r>
        <w:rPr>
          <w:b/>
          <w:i/>
          <w:sz w:val="22"/>
          <w:szCs w:val="22"/>
        </w:rPr>
        <w:t>Arlon : 1/2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 xml:space="preserve">Zone Wallonie Picarde 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Hainaut centre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b/>
          <w:i/>
          <w:sz w:val="22"/>
          <w:szCs w:val="22"/>
        </w:rPr>
        <w:t>Mons spécialisé : 1/2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4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Hainaut Sud</w:t>
      </w:r>
    </w:p>
    <w:p>
      <w:pPr>
        <w:widowControl/>
        <w:autoSpaceDE w:val="0"/>
        <w:ind w:left="72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4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autoSpaceDE w:val="0"/>
        <w:ind w:left="360" w:right="283"/>
        <w:jc w:val="both"/>
        <w:rPr>
          <w:i/>
          <w:sz w:val="20"/>
          <w:szCs w:val="20"/>
          <w:u w:val="single"/>
        </w:rPr>
      </w:pPr>
    </w:p>
    <w:p>
      <w:pPr>
        <w:widowControl/>
        <w:autoSpaceDE w:val="0"/>
        <w:ind w:left="1080" w:right="283"/>
        <w:jc w:val="both"/>
        <w:rPr>
          <w:i/>
          <w:sz w:val="20"/>
          <w:szCs w:val="20"/>
          <w:u w:val="single"/>
        </w:rPr>
      </w:pPr>
    </w:p>
    <w:p>
      <w:pPr>
        <w:widowControl/>
        <w:autoSpaceDE w:val="0"/>
        <w:ind w:left="1080" w:right="283"/>
        <w:jc w:val="both"/>
        <w:rPr>
          <w:i/>
          <w:sz w:val="20"/>
          <w:szCs w:val="20"/>
          <w:u w:val="single"/>
        </w:rPr>
      </w:pPr>
    </w:p>
    <w:p>
      <w:pPr>
        <w:widowControl/>
        <w:autoSpaceDE w:val="0"/>
        <w:ind w:left="1080" w:right="283"/>
        <w:jc w:val="both"/>
        <w:rPr>
          <w:i/>
          <w:sz w:val="20"/>
          <w:szCs w:val="20"/>
          <w:u w:val="single"/>
        </w:rPr>
      </w:pPr>
    </w:p>
    <w:p>
      <w:pPr>
        <w:widowControl/>
        <w:autoSpaceDE w:val="0"/>
        <w:ind w:left="1080" w:right="283"/>
        <w:jc w:val="both"/>
        <w:rPr>
          <w:i/>
          <w:sz w:val="20"/>
          <w:szCs w:val="20"/>
          <w:u w:val="single"/>
        </w:rPr>
      </w:pPr>
    </w:p>
    <w:p>
      <w:pPr>
        <w:widowControl/>
        <w:autoSpaceDE w:val="0"/>
        <w:ind w:left="1080" w:right="283"/>
        <w:jc w:val="both"/>
        <w:rPr>
          <w:i/>
          <w:sz w:val="20"/>
          <w:szCs w:val="20"/>
          <w:u w:val="single"/>
        </w:rPr>
      </w:pPr>
    </w:p>
    <w:p>
      <w:pPr>
        <w:widowControl/>
        <w:autoSpaceDE w:val="0"/>
        <w:ind w:left="1080" w:right="283"/>
        <w:jc w:val="both"/>
        <w:rPr>
          <w:i/>
          <w:sz w:val="20"/>
          <w:szCs w:val="20"/>
          <w:u w:val="single"/>
        </w:rPr>
      </w:pPr>
    </w:p>
    <w:p>
      <w:pPr>
        <w:pageBreakBefore/>
        <w:widowControl/>
        <w:autoSpaceDE w:val="0"/>
        <w:ind w:right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1.2. Emplois d’auxiliaires paramédicaux</w:t>
      </w:r>
    </w:p>
    <w:p>
      <w:pPr>
        <w:widowControl/>
        <w:autoSpaceDE w:val="0"/>
        <w:ind w:left="360" w:right="283"/>
        <w:jc w:val="both"/>
        <w:rPr>
          <w:b/>
          <w:sz w:val="22"/>
          <w:szCs w:val="22"/>
          <w:u w:val="single"/>
        </w:rPr>
      </w:pPr>
    </w:p>
    <w:p>
      <w:pPr>
        <w:widowControl/>
        <w:autoSpaceDE w:val="0"/>
        <w:ind w:left="360" w:right="283"/>
        <w:jc w:val="both"/>
        <w:rPr>
          <w:b/>
          <w:i/>
          <w:sz w:val="22"/>
          <w:szCs w:val="22"/>
          <w:u w:val="single"/>
        </w:rPr>
      </w:pP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Bruxelles-Capitale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left="108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Brabant Wallon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Huy – Waremme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Liège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b/>
          <w:i/>
          <w:sz w:val="22"/>
          <w:szCs w:val="22"/>
        </w:rPr>
        <w:t>Flémalle spécialisé : 1</w:t>
      </w:r>
    </w:p>
    <w:p>
      <w:pPr>
        <w:widowControl/>
        <w:autoSpaceDE w:val="0"/>
        <w:ind w:left="108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Verviers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b/>
          <w:i/>
          <w:sz w:val="22"/>
          <w:szCs w:val="22"/>
        </w:rPr>
        <w:t>Spa : 1/2</w:t>
      </w:r>
    </w:p>
    <w:p>
      <w:pPr>
        <w:widowControl/>
        <w:autoSpaceDE w:val="0"/>
        <w:jc w:val="both"/>
        <w:rPr>
          <w:b/>
          <w:sz w:val="22"/>
          <w:szCs w:val="22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de Namur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Luxembourg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b/>
          <w:sz w:val="22"/>
          <w:szCs w:val="22"/>
        </w:rPr>
        <w:t>Neufchâteau : 1</w:t>
      </w:r>
      <w:r>
        <w:rPr>
          <w:b/>
          <w:i/>
          <w:sz w:val="22"/>
          <w:szCs w:val="22"/>
        </w:rPr>
        <w:t> 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 xml:space="preserve">Zone Wallonie Picarde 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Hainaut centre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autoSpaceDE w:val="0"/>
        <w:ind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0"/>
          <w:numId w:val="7"/>
        </w:numPr>
        <w:autoSpaceDE w:val="0"/>
        <w:ind w:right="283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Zone du Hainaut Sud</w:t>
      </w:r>
    </w:p>
    <w:p>
      <w:pPr>
        <w:widowControl/>
        <w:autoSpaceDE w:val="0"/>
        <w:ind w:left="360" w:right="283"/>
        <w:jc w:val="both"/>
        <w:rPr>
          <w:i/>
          <w:sz w:val="22"/>
          <w:szCs w:val="22"/>
          <w:u w:val="single"/>
        </w:rPr>
      </w:pPr>
    </w:p>
    <w:p>
      <w:pPr>
        <w:widowControl/>
        <w:numPr>
          <w:ilvl w:val="1"/>
          <w:numId w:val="7"/>
        </w:numPr>
        <w:autoSpaceDE w:val="0"/>
        <w:ind w:right="283"/>
        <w:jc w:val="both"/>
      </w:pPr>
      <w:r>
        <w:rPr>
          <w:i/>
          <w:sz w:val="22"/>
          <w:szCs w:val="22"/>
        </w:rPr>
        <w:t>Néant</w:t>
      </w:r>
    </w:p>
    <w:p>
      <w:pPr>
        <w:widowControl/>
        <w:spacing w:after="120" w:line="276" w:lineRule="auto"/>
        <w:jc w:val="both"/>
        <w:rPr>
          <w:rFonts w:ascii="Verdana" w:hAnsi="Verdana" w:cs="Times New Roman"/>
          <w:kern w:val="3"/>
          <w:sz w:val="22"/>
          <w:szCs w:val="22"/>
          <w:lang w:val="nl-NL" w:eastAsia="zh-CN"/>
        </w:rPr>
      </w:pPr>
    </w:p>
    <w:p>
      <w:pPr>
        <w:widowControl/>
        <w:spacing w:after="120" w:line="276" w:lineRule="auto"/>
        <w:rPr>
          <w:rFonts w:ascii="Verdana" w:hAnsi="Verdana" w:cs="Times New Roman"/>
          <w:kern w:val="3"/>
          <w:sz w:val="22"/>
          <w:szCs w:val="22"/>
          <w:lang w:val="nl-NL" w:eastAsia="zh-CN"/>
        </w:rPr>
      </w:pPr>
    </w:p>
    <w:p>
      <w:pPr>
        <w:widowControl/>
        <w:spacing w:after="120" w:line="276" w:lineRule="auto"/>
        <w:rPr>
          <w:rFonts w:ascii="Verdana" w:hAnsi="Verdana" w:cs="Times New Roman"/>
          <w:kern w:val="3"/>
          <w:sz w:val="22"/>
          <w:szCs w:val="22"/>
          <w:lang w:val="nl-NL" w:eastAsia="zh-CN"/>
        </w:rPr>
      </w:pPr>
    </w:p>
    <w:p>
      <w:pPr>
        <w:widowControl/>
        <w:rPr>
          <w:rFonts w:ascii="Times New Roman" w:hAnsi="Times New Roman" w:cs="Times New Roman"/>
          <w:color w:val="00000A"/>
          <w:kern w:val="3"/>
          <w:sz w:val="22"/>
          <w:szCs w:val="22"/>
          <w:lang w:eastAsia="zh-CN"/>
        </w:rPr>
      </w:pPr>
    </w:p>
    <w:p>
      <w:pPr>
        <w:widowControl/>
        <w:rPr>
          <w:rFonts w:ascii="Times New Roman" w:hAnsi="Times New Roman" w:cs="Times New Roman"/>
          <w:color w:val="00000A"/>
          <w:kern w:val="3"/>
          <w:sz w:val="22"/>
          <w:szCs w:val="22"/>
          <w:lang w:eastAsia="zh-CN"/>
        </w:rPr>
      </w:pPr>
    </w:p>
    <w:p>
      <w:pPr>
        <w:widowControl/>
        <w:rPr>
          <w:rFonts w:ascii="Times New Roman" w:hAnsi="Times New Roman" w:cs="Times New Roman"/>
          <w:color w:val="00000A"/>
          <w:kern w:val="3"/>
          <w:sz w:val="22"/>
          <w:szCs w:val="22"/>
          <w:lang w:eastAsia="zh-CN"/>
        </w:rPr>
      </w:pPr>
    </w:p>
    <w:p>
      <w:pPr>
        <w:widowControl/>
        <w:rPr>
          <w:rFonts w:ascii="Times New Roman" w:hAnsi="Times New Roman" w:cs="Times New Roman"/>
          <w:color w:val="00000A"/>
          <w:kern w:val="3"/>
          <w:sz w:val="22"/>
          <w:szCs w:val="22"/>
          <w:lang w:eastAsia="zh-CN"/>
        </w:rPr>
      </w:pPr>
    </w:p>
    <w:p>
      <w:pPr>
        <w:widowControl/>
        <w:rPr>
          <w:rFonts w:ascii="Times New Roman" w:hAnsi="Times New Roman" w:cs="Times New Roman"/>
          <w:color w:val="00000A"/>
          <w:kern w:val="3"/>
          <w:sz w:val="22"/>
          <w:szCs w:val="22"/>
          <w:lang w:eastAsia="zh-CN"/>
        </w:rPr>
      </w:pPr>
    </w:p>
    <w:p>
      <w:pPr>
        <w:widowControl/>
        <w:rPr>
          <w:rFonts w:ascii="Times New Roman" w:hAnsi="Times New Roman" w:cs="Times New Roman"/>
          <w:color w:val="00000A"/>
          <w:kern w:val="3"/>
          <w:sz w:val="22"/>
          <w:szCs w:val="22"/>
          <w:lang w:eastAsia="zh-CN"/>
        </w:rPr>
      </w:pPr>
    </w:p>
    <w:p>
      <w:pPr>
        <w:widowControl/>
        <w:autoSpaceDE w:val="0"/>
        <w:ind w:left="21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</w:t>
      </w:r>
    </w:p>
    <w:p>
      <w:pPr>
        <w:widowControl/>
        <w:autoSpaceDE w:val="0"/>
        <w:ind w:left="2160"/>
        <w:rPr>
          <w:rFonts w:ascii="Calibri" w:hAnsi="Calibri" w:cs="Calibri"/>
          <w:sz w:val="28"/>
          <w:szCs w:val="28"/>
        </w:rPr>
      </w:pPr>
    </w:p>
    <w:p>
      <w:pPr>
        <w:widowControl/>
        <w:autoSpaceDE w:val="0"/>
        <w:ind w:left="2160"/>
        <w:rPr>
          <w:rFonts w:ascii="Calibri" w:hAnsi="Calibri" w:cs="Calibri"/>
          <w:sz w:val="28"/>
          <w:szCs w:val="28"/>
        </w:rPr>
      </w:pPr>
      <w:bookmarkStart w:id="0" w:name="_GoBack"/>
      <w:bookmarkEnd w:id="0"/>
    </w:p>
    <w:sectPr>
      <w:pgSz w:w="11910" w:h="16840"/>
      <w:pgMar w:top="1320" w:right="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rPr>
          <w:color w:val="000000"/>
        </w:rP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20E2C"/>
    <w:multiLevelType w:val="multilevel"/>
    <w:tmpl w:val="BCFCB3A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853B4"/>
    <w:multiLevelType w:val="multilevel"/>
    <w:tmpl w:val="DF10F19C"/>
    <w:styleLink w:val="WWOutlineListStyle"/>
    <w:lvl w:ilvl="0">
      <w:start w:val="1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D634C5C"/>
    <w:multiLevelType w:val="multilevel"/>
    <w:tmpl w:val="4BC08B96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" w15:restartNumberingAfterBreak="0">
    <w:nsid w:val="590907B4"/>
    <w:multiLevelType w:val="multilevel"/>
    <w:tmpl w:val="675E08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906D3"/>
    <w:multiLevelType w:val="multilevel"/>
    <w:tmpl w:val="E5DE1FE8"/>
    <w:styleLink w:val="WWOutlineListStyle1"/>
    <w:lvl w:ilvl="0">
      <w:start w:val="1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735F4487"/>
    <w:multiLevelType w:val="multilevel"/>
    <w:tmpl w:val="5290E200"/>
    <w:styleLink w:val="WWOutlineListStyle2"/>
    <w:lvl w:ilvl="0">
      <w:start w:val="1"/>
      <w:numFmt w:val="decimal"/>
      <w:pStyle w:val="Titre1"/>
      <w:lvlText w:val="%1"/>
      <w:lvlJc w:val="left"/>
      <w:rPr>
        <w:rFonts w:cs="Times New Roman"/>
      </w:rPr>
    </w:lvl>
    <w:lvl w:ilvl="1">
      <w:start w:val="1"/>
      <w:numFmt w:val="decimal"/>
      <w:pStyle w:val="Titre2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793B1161"/>
    <w:multiLevelType w:val="multilevel"/>
    <w:tmpl w:val="D272F45E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5E064-4806-4C2C-A070-FC824D2A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fr-BE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</w:pPr>
    <w:rPr>
      <w:rFonts w:cs="Arial"/>
      <w:sz w:val="24"/>
      <w:szCs w:val="24"/>
      <w:lang w:val="fr-FR" w:eastAsia="fr-FR"/>
    </w:rPr>
  </w:style>
  <w:style w:type="paragraph" w:styleId="Titre1">
    <w:name w:val="heading 1"/>
    <w:basedOn w:val="Normal"/>
    <w:next w:val="Normal"/>
    <w:pPr>
      <w:keepNext/>
      <w:numPr>
        <w:numId w:val="1"/>
      </w:numPr>
      <w:spacing w:before="240" w:after="120"/>
      <w:outlineLvl w:val="0"/>
    </w:pPr>
    <w:rPr>
      <w:rFonts w:ascii="Cambria" w:hAnsi="Cambria" w:cs="Times New Roman"/>
      <w:b/>
      <w:bCs/>
      <w:kern w:val="3"/>
      <w:sz w:val="32"/>
      <w:szCs w:val="32"/>
    </w:rPr>
  </w:style>
  <w:style w:type="paragraph" w:styleId="Titre2">
    <w:name w:val="heading 2"/>
    <w:basedOn w:val="Normal"/>
    <w:next w:val="Normal"/>
    <w:pPr>
      <w:keepNext/>
      <w:numPr>
        <w:ilvl w:val="1"/>
        <w:numId w:val="1"/>
      </w:numPr>
      <w:spacing w:before="240" w:after="12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pPr>
      <w:keepNext/>
      <w:tabs>
        <w:tab w:val="left" w:pos="0"/>
      </w:tabs>
      <w:spacing w:before="240" w:after="12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2">
    <w:name w:val="WW_OutlineListStyle_2"/>
    <w:basedOn w:val="Aucuneliste"/>
    <w:pPr>
      <w:numPr>
        <w:numId w:val="1"/>
      </w:numPr>
    </w:pPr>
  </w:style>
  <w:style w:type="character" w:customStyle="1" w:styleId="Titre1Car">
    <w:name w:val="Titre 1 Car"/>
    <w:rPr>
      <w:rFonts w:ascii="Cambria" w:hAnsi="Cambria"/>
      <w:b/>
      <w:bCs/>
      <w:kern w:val="3"/>
      <w:sz w:val="32"/>
      <w:szCs w:val="32"/>
      <w:lang w:val="fr-FR" w:eastAsia="fr-FR"/>
    </w:rPr>
  </w:style>
  <w:style w:type="character" w:customStyle="1" w:styleId="Titre2Car">
    <w:name w:val="Titre 2 Car"/>
    <w:rPr>
      <w:rFonts w:ascii="Cambria" w:hAnsi="Cambria"/>
      <w:b/>
      <w:bCs/>
      <w:i/>
      <w:iCs/>
      <w:sz w:val="28"/>
      <w:szCs w:val="28"/>
      <w:lang w:val="fr-FR" w:eastAsia="fr-FR"/>
    </w:rPr>
  </w:style>
  <w:style w:type="character" w:customStyle="1" w:styleId="Titre3Car">
    <w:name w:val="Titre 3 Car"/>
    <w:rPr>
      <w:rFonts w:ascii="Cambria" w:hAnsi="Cambria"/>
      <w:b/>
      <w:bCs/>
      <w:sz w:val="26"/>
      <w:szCs w:val="26"/>
      <w:lang w:val="fr-FR" w:eastAsia="fr-FR"/>
    </w:rPr>
  </w:style>
  <w:style w:type="paragraph" w:styleId="Lgende">
    <w:name w:val="caption"/>
    <w:basedOn w:val="Normal"/>
    <w:pPr>
      <w:spacing w:before="120" w:after="120"/>
    </w:pPr>
    <w:rPr>
      <w:rFonts w:cs="Mangal"/>
      <w:i/>
    </w:rPr>
  </w:style>
  <w:style w:type="paragraph" w:styleId="Sansinterligne">
    <w:name w:val="No Spacing"/>
    <w:pPr>
      <w:suppressAutoHyphens/>
    </w:pPr>
    <w:rPr>
      <w:rFonts w:ascii="Calibri" w:hAnsi="Calibri"/>
      <w:sz w:val="22"/>
      <w:szCs w:val="22"/>
    </w:rPr>
  </w:style>
  <w:style w:type="character" w:customStyle="1" w:styleId="SansinterligneCar">
    <w:name w:val="Sans interligne Car"/>
    <w:rPr>
      <w:rFonts w:ascii="Calibri" w:hAnsi="Calibri"/>
      <w:sz w:val="22"/>
      <w:szCs w:val="22"/>
    </w:rPr>
  </w:style>
  <w:style w:type="paragraph" w:styleId="En-ttedetabledesmatires">
    <w:name w:val="TOC Heading"/>
    <w:basedOn w:val="Titre1"/>
    <w:next w:val="Normal"/>
    <w:pPr>
      <w:keepLines/>
      <w:widowControl/>
      <w:spacing w:before="480" w:after="0" w:line="276" w:lineRule="auto"/>
    </w:pPr>
    <w:rPr>
      <w:color w:val="365F91"/>
      <w:kern w:val="0"/>
      <w:sz w:val="28"/>
      <w:szCs w:val="28"/>
      <w:lang w:val="fr-BE" w:eastAsia="fr-BE"/>
    </w:rPr>
  </w:style>
  <w:style w:type="paragraph" w:styleId="TM1">
    <w:name w:val="toc 1"/>
    <w:basedOn w:val="Normal"/>
    <w:next w:val="Normal"/>
    <w:autoRedefine/>
    <w:pPr>
      <w:widowControl/>
      <w:spacing w:after="100" w:line="276" w:lineRule="auto"/>
    </w:pPr>
    <w:rPr>
      <w:rFonts w:ascii="Calibri" w:hAnsi="Calibri" w:cs="Times New Roman"/>
      <w:sz w:val="22"/>
      <w:szCs w:val="22"/>
      <w:lang w:val="fr-BE" w:eastAsia="fr-BE"/>
    </w:rPr>
  </w:style>
  <w:style w:type="paragraph" w:styleId="TM2">
    <w:name w:val="toc 2"/>
    <w:basedOn w:val="Normal"/>
    <w:next w:val="Normal"/>
    <w:autoRedefine/>
    <w:pPr>
      <w:widowControl/>
      <w:spacing w:after="100" w:line="276" w:lineRule="auto"/>
      <w:ind w:left="220"/>
    </w:pPr>
    <w:rPr>
      <w:rFonts w:ascii="Calibri" w:hAnsi="Calibri" w:cs="Times New Roman"/>
      <w:sz w:val="22"/>
      <w:szCs w:val="22"/>
      <w:lang w:val="fr-BE" w:eastAsia="fr-BE"/>
    </w:rPr>
  </w:style>
  <w:style w:type="paragraph" w:styleId="TM3">
    <w:name w:val="toc 3"/>
    <w:basedOn w:val="Normal"/>
    <w:next w:val="Normal"/>
    <w:autoRedefine/>
    <w:pPr>
      <w:ind w:left="480"/>
    </w:pPr>
  </w:style>
  <w:style w:type="character" w:styleId="Accentuation">
    <w:name w:val="Emphasis"/>
    <w:basedOn w:val="Policepardfaut"/>
    <w:rPr>
      <w:i/>
      <w:iCs/>
    </w:rPr>
  </w:style>
  <w:style w:type="numbering" w:customStyle="1" w:styleId="WWOutlineListStyle1">
    <w:name w:val="WW_OutlineListStyle_1"/>
    <w:basedOn w:val="Aucuneliste"/>
    <w:pPr>
      <w:numPr>
        <w:numId w:val="2"/>
      </w:numPr>
    </w:pPr>
  </w:style>
  <w:style w:type="numbering" w:customStyle="1" w:styleId="WWOutlineListStyle">
    <w:name w:val="WW_OutlineListStyle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Murielle</dc:creator>
  <cp:lastModifiedBy>STYL Nancy</cp:lastModifiedBy>
  <cp:revision>2</cp:revision>
  <dcterms:created xsi:type="dcterms:W3CDTF">2020-04-23T08:22:00Z</dcterms:created>
  <dcterms:modified xsi:type="dcterms:W3CDTF">2020-04-23T08:22:00Z</dcterms:modified>
</cp:coreProperties>
</file>